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PRAVILNIK</w:t>
      </w:r>
    </w:p>
    <w:p>
      <w:pPr>
        <w:jc w:val="center"/>
      </w:pPr>
      <w:r>
        <w:rPr>
          <w:i/>
          <w:sz w:val="22"/>
        </w:rPr>
        <w:t>o uslovima, kriterijumima i postupku dodele godišnje nagrade „OBUKOM DO KVALITETA POSLOVANJA“</w:t>
      </w:r>
    </w:p>
    <w:p>
      <w:pPr>
        <w:jc w:val="center"/>
      </w:pPr>
      <w:r>
        <w:rPr>
          <w:b/>
        </w:rPr>
        <w:t>Asocijacija za kvalitet i standardizaciju Srbije</w:t>
        <w:br/>
        <w:t>2026. godina</w:t>
      </w:r>
    </w:p>
    <w:p>
      <w:pPr>
        <w:pStyle w:val="Heading1"/>
      </w:pPr>
      <w:r>
        <w:t>I. OPŠTE ODREDBE</w:t>
      </w:r>
    </w:p>
    <w:p>
      <w:r>
        <w:t>Član 1. Ovim pravilnikom uređuju se cilj, uslovi učešća, kriterijumi, način bodovanja, dokazivanje podataka, postupak ocenjivanja i način dodele godišnje nagrade „Obukom do kvaliteta poslovanja“ (u daljem tekstu: Nagrada).</w:t>
      </w:r>
    </w:p>
    <w:p>
      <w:r>
        <w:t>Član 2. Nagrada se dodeljuje organizaciji koja je u periodu koji se ocenjuje pokazala posebno dobru praksu u planiranju, realizaciji i primeni obuka zaposlenih, uz ostvarene efekte na kvalitet i uspešnost poslovanja.</w:t>
      </w:r>
    </w:p>
    <w:p>
      <w:r>
        <w:t>Član 3. Osnovno načelo Nagrade je: ne ocenjuje se samo broj realizovanih obuka, već odnos obima, sistematičnosti, ulaganja i ostvarenih efekata.</w:t>
      </w:r>
    </w:p>
    <w:p>
      <w:pPr>
        <w:pStyle w:val="Heading1"/>
      </w:pPr>
      <w:r>
        <w:t>II. CILJ NAGRADE</w:t>
      </w:r>
    </w:p>
    <w:p>
      <w:r>
        <w:t>Član 4. Cilj Nagrade je podsticanje organizacija da kontinuirano razvijaju kompetencije zaposlenih i da stečena znanja koriste za unapređenje kvaliteta, procesa, produktivnosti, usklađenosti i drugih rezultata poslovanja.</w:t>
      </w:r>
    </w:p>
    <w:p>
      <w:r>
        <w:t>Član 5. Nagrada promoviše primere dobre prakse i doprinosi razmeni iskustava između organizacija.</w:t>
      </w:r>
    </w:p>
    <w:p>
      <w:pPr>
        <w:pStyle w:val="Heading1"/>
      </w:pPr>
      <w:r>
        <w:t>III. PRAVO UČEŠĆA</w:t>
      </w:r>
    </w:p>
    <w:p>
      <w:r>
        <w:t>Član 6. Pravo učešća imaju privredna društva, preduzetnici, javne ustanove, javna preduzeća, organi javne uprave i druge organizacije registrovane i aktivne na teritoriji Republike Srbije.</w:t>
      </w:r>
    </w:p>
    <w:p>
      <w:r>
        <w:t>Član 7. Organizacija se prijavljuje dobrovoljno i prihvata pravila ovog pravilnika. Podaci se dostavljaju za period definisan javnim pozivom za konkretnu godinu.</w:t>
      </w:r>
    </w:p>
    <w:p>
      <w:pPr>
        <w:pStyle w:val="Heading1"/>
      </w:pPr>
      <w:r>
        <w:t>IV. NAČIN PRIJAVLJIVANJA</w:t>
      </w:r>
    </w:p>
    <w:p>
      <w:r>
        <w:t>Član 8. Prijava se podnosi putem zvaničnog prijavnog obrasca/Google forme, uz dostavljanje traženih podataka i dokaza.</w:t>
      </w:r>
    </w:p>
    <w:p>
      <w:r>
        <w:t>Član 9. Kandidat odgovara za tačnost, potpunost i verodostojnost podataka. Komisija može zatražiti dodatno pojašnjenje ili dokaz za bilo koji navod.</w:t>
      </w:r>
    </w:p>
    <w:p>
      <w:pPr>
        <w:pStyle w:val="Heading1"/>
      </w:pPr>
      <w:r>
        <w:t>V. KRITERIJUMI I BODOVANJE</w:t>
      </w:r>
    </w:p>
    <w:p>
      <w:r>
        <w:t>Član 10. Kandidati se ocenjuju prema četiri kriterijuma, ukupno 100 bodova.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fill="D9EAF7"/>
          </w:tcPr>
          <w:p>
            <w:r/>
            <w:r>
              <w:rPr>
                <w:b/>
                <w:sz w:val="18"/>
              </w:rPr>
              <w:t>Kriterijum</w:t>
            </w:r>
          </w:p>
        </w:tc>
        <w:tc>
          <w:tcPr>
            <w:tcW w:type="dxa" w:w="3324"/>
            <w:vAlign w:val="center"/>
            <w:shd w:fill="D9EAF7"/>
          </w:tcPr>
          <w:p>
            <w:r/>
            <w:r>
              <w:rPr>
                <w:b/>
                <w:sz w:val="18"/>
              </w:rPr>
              <w:t>Maks. bodova</w:t>
            </w:r>
          </w:p>
        </w:tc>
        <w:tc>
          <w:tcPr>
            <w:tcW w:type="dxa" w:w="3324"/>
            <w:vAlign w:val="center"/>
            <w:shd w:fill="D9EAF7"/>
          </w:tcPr>
          <w:p>
            <w:r/>
            <w:r>
              <w:rPr>
                <w:b/>
                <w:sz w:val="18"/>
              </w:rPr>
              <w:t>Sadržaj ocenjivanja</w:t>
            </w:r>
          </w:p>
        </w:tc>
      </w:tr>
      <w:tr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1. Obim i obuhvat obuka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25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Broj obuka, broj i procenat zaposlenih obuhvaćenih obukama, broj sati/dana obuke.</w:t>
            </w:r>
          </w:p>
        </w:tc>
      </w:tr>
      <w:tr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2. Kvalitet i sistematičnost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25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Planiranje, utvrđivanje potreba, povezanost obuka sa poslovnim potrebama, kontinuitet.</w:t>
            </w:r>
          </w:p>
        </w:tc>
      </w:tr>
      <w:tr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3. Ulaganje u zaposlene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Ukupna ulaganja, ulaganje po zaposlenom i razvojne obuke iznad zakonskog minimuma.</w:t>
            </w:r>
          </w:p>
        </w:tc>
      </w:tr>
      <w:tr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4. Rezultati i efekti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30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Primena znanja, unapređenje procesa/kvaliteta i merljivi ili jasno opisani efekti.</w:t>
            </w:r>
          </w:p>
        </w:tc>
      </w:tr>
      <w:tr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UKUPNO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  <w:t>100</w:t>
            </w:r>
          </w:p>
        </w:tc>
        <w:tc>
          <w:tcPr>
            <w:tcW w:type="dxa" w:w="3324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pStyle w:val="Heading1"/>
      </w:pPr>
      <w:r>
        <w:t>Član 11. Način ocenjivanja</w:t>
      </w:r>
    </w:p>
    <w:p>
      <w:r>
        <w:t>Kriterijumi se ocenjuju kombinacijom kvantitativnih podataka iz prijave i kvalitativne procene Komisije. Kod pokazatelja koji zavise od veličine organizacije prednost imaju relativni pokazatelji (npr. procenat zaposlenih i ulaganje po zaposlenom), kako bi se obezbedila uporedivost kandidata.</w:t>
      </w:r>
    </w:p>
    <w:p>
      <w:r>
        <w:t>Za kriterijum 4 kandidat dostavlja najmanje jedan, a preporučeno dva konkretna primera primene obuke po principu: OBUKA → PRIMENA → REZULTAT.</w:t>
      </w:r>
    </w:p>
    <w:p>
      <w:pPr>
        <w:pStyle w:val="Heading1"/>
      </w:pPr>
      <w:r>
        <w:t>VI. DOKAZI</w:t>
      </w:r>
    </w:p>
    <w:p>
      <w:r>
        <w:t>Obavezni dokazi: prijavni obrazac, izjava o tačnosti podataka, pregled realizovanih obuka i najmanje jedan dokaz o sistemu planiranja/realizacije obuka, kao i najmanje jedan primer efekta obuke. Dodatni dokazi dostavljaju se po izboru kandidata ili na zahtev Komisije.</w:t>
      </w:r>
    </w:p>
    <w:p>
      <w:r>
        <w:t>Dokazi mogu biti plan obuka, matrica kompetencija, evidencije prisustva, sertifikati, izveštaji o evaluaciji, KPI pokazatelji, grafikoni pre/posle, interne procedure, izveštaji o unapređenjima i druga relevantna dokumentacija. Nije potrebno dostavljati poverljive podatke koji nisu neophodni za ocenjivanje.</w:t>
      </w:r>
    </w:p>
    <w:p>
      <w:pPr>
        <w:pStyle w:val="Heading1"/>
      </w:pPr>
      <w:r>
        <w:t>VII. KOMISIJA I POSTUPAK OCENJIVANJA</w:t>
      </w:r>
    </w:p>
    <w:p>
      <w:r>
        <w:t>Komisiju imenuje Asocijacija za kvalitet i standardizaciju Srbije. Član Komisije dužan je da prijavi mogući sukob interesa i ne učestvuje u ocenjivanju kandidata kod kojeg postoji sukob interesa.</w:t>
      </w:r>
    </w:p>
    <w:p>
      <w:r>
        <w:t>Komisija pregleda prijave, po potrebi traži dopunu, vrši bodovanje i utvrđuje rang-listu. O radu Komisije sastavlja se zapisnik.</w:t>
      </w:r>
    </w:p>
    <w:p>
      <w:r>
        <w:t>Ako dva ili više kandidata imaju isti broj bodova, prednost ima kandidat sa većim brojem bodova u kriterijumu „Rezultati i efekti“. Ako izjednačenje ostane, prednost se daje kandidatu sa većim brojem bodova u kriterijumu „Kvalitet i sistematičnost“, a zatim odluku donosi Komisija većinom glasova.</w:t>
      </w:r>
    </w:p>
    <w:p>
      <w:pPr>
        <w:pStyle w:val="Heading1"/>
      </w:pPr>
      <w:r>
        <w:t>VIII. PRAG ZA DODELU</w:t>
      </w:r>
    </w:p>
    <w:p>
      <w:r>
        <w:t>Nagrada se, po pravilu, dodeljuje kandidatu koji ostvari najmanje 70 bodova i najveći ukupan broj bodova. Komisija može odlučiti da Nagradu ne dodeli ukoliko nijedan kandidat ne dostigne minimalni kvalitet od 70 bodova.</w:t>
      </w:r>
    </w:p>
    <w:p>
      <w:pPr>
        <w:pStyle w:val="Heading1"/>
      </w:pPr>
      <w:r>
        <w:t>IX. OBJAVLJIVANJE I DODELA</w:t>
      </w:r>
    </w:p>
    <w:p>
      <w:r>
        <w:t>Dobitnik se proglašava na događaju koji odredi Asocijacija. Asocijacija može objaviti naziv dobitnika, osnovne podatke o nagrađenoj organizaciji i sažetak dobre prakse. Objavljivanje detaljnih poslovno osetljivih podataka vrši se samo uz saglasnost organizacije.</w:t>
      </w:r>
    </w:p>
    <w:p>
      <w:pPr>
        <w:pStyle w:val="Heading1"/>
      </w:pPr>
      <w:r>
        <w:t>X. ZAVRŠNE ODREDBE</w:t>
      </w:r>
    </w:p>
    <w:p>
      <w:r>
        <w:t>Ovaj pravilnik stupa na snagu danom usvajanja od strane nadležnog organa Asocijacije. Za pitanja koja nisu uređena ovim pravilnikom primenjuju se uslovi iz važećeg javnog poziva.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